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6C" w:rsidRPr="00A8646C" w:rsidRDefault="00A8646C">
      <w:pPr>
        <w:rPr>
          <w:b/>
          <w:sz w:val="28"/>
          <w:szCs w:val="28"/>
        </w:rPr>
      </w:pPr>
      <w:bookmarkStart w:id="0" w:name="_GoBack"/>
      <w:bookmarkEnd w:id="0"/>
      <w:r w:rsidRPr="00A8646C">
        <w:rPr>
          <w:b/>
          <w:sz w:val="28"/>
          <w:szCs w:val="28"/>
        </w:rPr>
        <w:t>InterAction Dues Policy</w:t>
      </w:r>
    </w:p>
    <w:p w:rsidR="00A8646C" w:rsidRDefault="00A8646C">
      <w:r>
        <w:t>Effective January 1, 2016.</w:t>
      </w:r>
    </w:p>
    <w:p w:rsidR="00437F56" w:rsidRDefault="009E10DE" w:rsidP="00437F56">
      <w:r>
        <w:t xml:space="preserve">InterAction members are assessed dues annually. Membership dues represent 25-30% of </w:t>
      </w:r>
      <w:proofErr w:type="spellStart"/>
      <w:r>
        <w:t>InterAction’s</w:t>
      </w:r>
      <w:proofErr w:type="spellEnd"/>
      <w:r>
        <w:t xml:space="preserve"> operating budget each year. Dues revenue is leveraged by grants from other sources, but </w:t>
      </w:r>
      <w:proofErr w:type="gramStart"/>
      <w:r>
        <w:t>generate</w:t>
      </w:r>
      <w:proofErr w:type="gramEnd"/>
      <w:r>
        <w:t xml:space="preserve"> the largest portion of unrestricted funds, enabling us to be nimble in taking on issues that are important to our members.</w:t>
      </w:r>
      <w:r w:rsidR="00437F56">
        <w:t xml:space="preserve"> For more information about </w:t>
      </w:r>
      <w:proofErr w:type="spellStart"/>
      <w:r w:rsidR="00437F56">
        <w:t>InterAction’s</w:t>
      </w:r>
      <w:proofErr w:type="spellEnd"/>
      <w:r w:rsidR="00437F56">
        <w:t xml:space="preserve"> other revenue sources, please see the </w:t>
      </w:r>
      <w:hyperlink r:id="rId6" w:history="1">
        <w:r w:rsidR="00437F56">
          <w:rPr>
            <w:rStyle w:val="Hyperlink"/>
          </w:rPr>
          <w:t>F</w:t>
        </w:r>
        <w:r w:rsidR="00437F56" w:rsidRPr="00437F56">
          <w:rPr>
            <w:rStyle w:val="Hyperlink"/>
          </w:rPr>
          <w:t>inanc</w:t>
        </w:r>
        <w:r w:rsidR="00437F56">
          <w:rPr>
            <w:rStyle w:val="Hyperlink"/>
          </w:rPr>
          <w:t xml:space="preserve">ials page in the </w:t>
        </w:r>
        <w:proofErr w:type="gramStart"/>
        <w:r w:rsidR="00437F56">
          <w:rPr>
            <w:rStyle w:val="Hyperlink"/>
          </w:rPr>
          <w:t>A</w:t>
        </w:r>
        <w:r w:rsidR="00437F56" w:rsidRPr="00437F56">
          <w:rPr>
            <w:rStyle w:val="Hyperlink"/>
          </w:rPr>
          <w:t>bout</w:t>
        </w:r>
        <w:proofErr w:type="gramEnd"/>
        <w:r w:rsidR="00437F56" w:rsidRPr="00437F56">
          <w:rPr>
            <w:rStyle w:val="Hyperlink"/>
          </w:rPr>
          <w:t xml:space="preserve"> section of the InterAction website</w:t>
        </w:r>
      </w:hyperlink>
      <w:r w:rsidR="00437F56">
        <w:t xml:space="preserve"> and the </w:t>
      </w:r>
      <w:hyperlink r:id="rId7" w:history="1">
        <w:r w:rsidR="00437F56" w:rsidRPr="00437F56">
          <w:rPr>
            <w:rStyle w:val="Hyperlink"/>
          </w:rPr>
          <w:t>InterAction page on NGO Aid Map</w:t>
        </w:r>
      </w:hyperlink>
      <w:r w:rsidR="00437F56">
        <w:t xml:space="preserve">. </w:t>
      </w:r>
    </w:p>
    <w:p w:rsidR="009E10DE" w:rsidRDefault="009E10DE"/>
    <w:p w:rsidR="00562830" w:rsidRDefault="009E10DE">
      <w:r>
        <w:t xml:space="preserve">Dues are assessed based on the organization’s expenses in the most recent year as reported on Internal Revenue Service 990 submissions or other financial information, such as audited financial statements, for members not required </w:t>
      </w:r>
      <w:proofErr w:type="gramStart"/>
      <w:r>
        <w:t>to file</w:t>
      </w:r>
      <w:proofErr w:type="gramEnd"/>
      <w:r>
        <w:t xml:space="preserve"> 990 forms. </w:t>
      </w:r>
      <w:r w:rsidR="00562830">
        <w:t>Dues are assessed according to the following table.</w:t>
      </w:r>
    </w:p>
    <w:tbl>
      <w:tblPr>
        <w:tblW w:w="5480" w:type="dxa"/>
        <w:tblInd w:w="93" w:type="dxa"/>
        <w:tblLook w:val="04A0" w:firstRow="1" w:lastRow="0" w:firstColumn="1" w:lastColumn="0" w:noHBand="0" w:noVBand="1"/>
      </w:tblPr>
      <w:tblGrid>
        <w:gridCol w:w="2966"/>
        <w:gridCol w:w="2514"/>
      </w:tblGrid>
      <w:tr w:rsidR="00BE4C63" w:rsidTr="007E2E3A">
        <w:trPr>
          <w:trHeight w:val="288"/>
        </w:trPr>
        <w:tc>
          <w:tcPr>
            <w:tcW w:w="2966" w:type="dxa"/>
            <w:tcBorders>
              <w:top w:val="single" w:sz="4" w:space="0" w:color="auto"/>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Member Expenses</w:t>
            </w:r>
          </w:p>
        </w:tc>
        <w:tc>
          <w:tcPr>
            <w:tcW w:w="2514" w:type="dxa"/>
            <w:tcBorders>
              <w:top w:val="single" w:sz="4" w:space="0" w:color="auto"/>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New Dues</w:t>
            </w:r>
          </w:p>
        </w:tc>
      </w:tr>
      <w:tr w:rsidR="00BE4C63" w:rsidTr="007E2E3A">
        <w:trPr>
          <w:trHeight w:val="288"/>
        </w:trPr>
        <w:tc>
          <w:tcPr>
            <w:tcW w:w="2966" w:type="dxa"/>
            <w:tcBorders>
              <w:top w:val="single" w:sz="4" w:space="0" w:color="auto"/>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over $1B</w:t>
            </w:r>
          </w:p>
        </w:tc>
        <w:tc>
          <w:tcPr>
            <w:tcW w:w="2514" w:type="dxa"/>
            <w:tcBorders>
              <w:top w:val="single" w:sz="4" w:space="0" w:color="auto"/>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$56K</w:t>
            </w:r>
          </w:p>
        </w:tc>
      </w:tr>
      <w:tr w:rsidR="00BE4C63" w:rsidTr="007E2E3A">
        <w:trPr>
          <w:trHeight w:val="288"/>
        </w:trPr>
        <w:tc>
          <w:tcPr>
            <w:tcW w:w="2966" w:type="dxa"/>
            <w:tcBorders>
              <w:top w:val="single" w:sz="4" w:space="0" w:color="auto"/>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$700M-$1B</w:t>
            </w:r>
          </w:p>
        </w:tc>
        <w:tc>
          <w:tcPr>
            <w:tcW w:w="2514" w:type="dxa"/>
            <w:tcBorders>
              <w:top w:val="single" w:sz="4" w:space="0" w:color="auto"/>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$54K</w:t>
            </w:r>
          </w:p>
        </w:tc>
      </w:tr>
      <w:tr w:rsidR="00BE4C63" w:rsidTr="007E2E3A">
        <w:trPr>
          <w:trHeight w:val="288"/>
        </w:trPr>
        <w:tc>
          <w:tcPr>
            <w:tcW w:w="2966" w:type="dxa"/>
            <w:tcBorders>
              <w:top w:val="single" w:sz="4" w:space="0" w:color="auto"/>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$400M-$699.9M</w:t>
            </w:r>
          </w:p>
        </w:tc>
        <w:tc>
          <w:tcPr>
            <w:tcW w:w="2514" w:type="dxa"/>
            <w:tcBorders>
              <w:top w:val="single" w:sz="4" w:space="0" w:color="auto"/>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$52K</w:t>
            </w:r>
          </w:p>
        </w:tc>
      </w:tr>
      <w:tr w:rsidR="00BE4C63" w:rsidTr="007E2E3A">
        <w:trPr>
          <w:trHeight w:val="288"/>
        </w:trPr>
        <w:tc>
          <w:tcPr>
            <w:tcW w:w="2966" w:type="dxa"/>
            <w:tcBorders>
              <w:top w:val="single" w:sz="4" w:space="0" w:color="auto"/>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200-399.9M</w:t>
            </w:r>
          </w:p>
        </w:tc>
        <w:tc>
          <w:tcPr>
            <w:tcW w:w="2514" w:type="dxa"/>
            <w:tcBorders>
              <w:top w:val="single" w:sz="4" w:space="0" w:color="auto"/>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$50K</w:t>
            </w:r>
          </w:p>
        </w:tc>
      </w:tr>
      <w:tr w:rsidR="00BE4C63" w:rsidTr="007E2E3A">
        <w:trPr>
          <w:trHeight w:val="288"/>
        </w:trPr>
        <w:tc>
          <w:tcPr>
            <w:tcW w:w="2966" w:type="dxa"/>
            <w:tcBorders>
              <w:top w:val="single" w:sz="4" w:space="0" w:color="auto"/>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$150-199.9M</w:t>
            </w:r>
          </w:p>
        </w:tc>
        <w:tc>
          <w:tcPr>
            <w:tcW w:w="2514" w:type="dxa"/>
            <w:tcBorders>
              <w:top w:val="single" w:sz="4" w:space="0" w:color="auto"/>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$48K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$100-149.9M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$46.5K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$75-99.9M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$40.5K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$50-74.9M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$36K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$30-49.9M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$34K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$20-29.9M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$26K</w:t>
            </w:r>
          </w:p>
        </w:tc>
      </w:tr>
      <w:tr w:rsidR="00BE4C63" w:rsidTr="007E2E3A">
        <w:trPr>
          <w:trHeight w:val="288"/>
        </w:trPr>
        <w:tc>
          <w:tcPr>
            <w:tcW w:w="2966" w:type="dxa"/>
            <w:tcBorders>
              <w:top w:val="single" w:sz="4" w:space="0" w:color="auto"/>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$15-19.9M</w:t>
            </w:r>
          </w:p>
        </w:tc>
        <w:tc>
          <w:tcPr>
            <w:tcW w:w="2514" w:type="dxa"/>
            <w:tcBorders>
              <w:top w:val="single" w:sz="4" w:space="0" w:color="auto"/>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$24K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$12-14.9M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$18K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$10-11.9M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$16K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$9-9.9M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$14K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8-8.9M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$12.5K</w:t>
            </w:r>
          </w:p>
        </w:tc>
      </w:tr>
      <w:tr w:rsidR="00BE4C63" w:rsidTr="007E2E3A">
        <w:trPr>
          <w:trHeight w:val="360"/>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$7-7.9M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$11K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$6-6.9M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9K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$5-5.9M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$7.5K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$4-4.9M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$6K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$3-3.9M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$5K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$2.5-2.9M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$3.5K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$2-2.49M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$3K</w:t>
            </w:r>
          </w:p>
        </w:tc>
      </w:tr>
      <w:tr w:rsidR="00BE4C63" w:rsidTr="007E2E3A">
        <w:trPr>
          <w:trHeight w:val="288"/>
        </w:trPr>
        <w:tc>
          <w:tcPr>
            <w:tcW w:w="2966" w:type="dxa"/>
            <w:tcBorders>
              <w:top w:val="nil"/>
              <w:left w:val="single" w:sz="4" w:space="0" w:color="auto"/>
              <w:bottom w:val="single" w:sz="4" w:space="0" w:color="auto"/>
              <w:right w:val="single" w:sz="4" w:space="0" w:color="auto"/>
            </w:tcBorders>
            <w:noWrap/>
            <w:vAlign w:val="bottom"/>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under $2M</w:t>
            </w:r>
          </w:p>
        </w:tc>
        <w:tc>
          <w:tcPr>
            <w:tcW w:w="2514" w:type="dxa"/>
            <w:tcBorders>
              <w:top w:val="nil"/>
              <w:left w:val="single" w:sz="4" w:space="0" w:color="auto"/>
              <w:bottom w:val="single" w:sz="4" w:space="0" w:color="auto"/>
              <w:right w:val="single" w:sz="4" w:space="0" w:color="auto"/>
            </w:tcBorders>
            <w:hideMark/>
          </w:tcPr>
          <w:p w:rsidR="00BE4C63" w:rsidRDefault="00BE4C63" w:rsidP="00BD096A">
            <w:pPr>
              <w:spacing w:after="0" w:line="240" w:lineRule="auto"/>
              <w:rPr>
                <w:rFonts w:ascii="Calibri" w:eastAsia="Times New Roman" w:hAnsi="Calibri" w:cs="Times New Roman"/>
                <w:color w:val="000000"/>
              </w:rPr>
            </w:pPr>
            <w:r>
              <w:rPr>
                <w:rFonts w:ascii="Calibri" w:eastAsia="Times New Roman" w:hAnsi="Calibri" w:cs="Times New Roman"/>
                <w:color w:val="000000"/>
              </w:rPr>
              <w:t>$2.1K</w:t>
            </w:r>
          </w:p>
        </w:tc>
      </w:tr>
    </w:tbl>
    <w:p w:rsidR="007E2E3A" w:rsidRDefault="007E2E3A"/>
    <w:p w:rsidR="009E10DE" w:rsidRDefault="00562830">
      <w:r>
        <w:lastRenderedPageBreak/>
        <w:t xml:space="preserve">Dues invoices are sent out in the first week of January and are due within 30 days of receipt. </w:t>
      </w:r>
      <w:r w:rsidR="009E10DE">
        <w:t xml:space="preserve">Financial information required for dues assessment is gathered in the fall of </w:t>
      </w:r>
      <w:r>
        <w:t>the year prior to the invoice year.</w:t>
      </w:r>
      <w:r w:rsidR="007E2E3A">
        <w:t xml:space="preserve">  Members may </w:t>
      </w:r>
      <w:r w:rsidR="00437F56">
        <w:t>qualify for reduction of</w:t>
      </w:r>
      <w:r w:rsidR="007E2E3A">
        <w:t xml:space="preserve"> the assessable expenses (reported as total expenses on the 990 form or other financial report) as follows:</w:t>
      </w:r>
    </w:p>
    <w:p w:rsidR="007E2E3A" w:rsidRDefault="007E2E3A" w:rsidP="00C27E43">
      <w:pPr>
        <w:pStyle w:val="ListParagraph"/>
        <w:numPr>
          <w:ilvl w:val="0"/>
          <w:numId w:val="1"/>
        </w:numPr>
      </w:pPr>
      <w:r>
        <w:t>Gifts in Kind (material goods) expensed as part of total expenses</w:t>
      </w:r>
      <w:r w:rsidR="00C27E43">
        <w:t xml:space="preserve"> in the year referenced in the calculation</w:t>
      </w:r>
    </w:p>
    <w:p w:rsidR="007E2E3A" w:rsidRDefault="007E2E3A" w:rsidP="00C27E43">
      <w:pPr>
        <w:pStyle w:val="ListParagraph"/>
        <w:numPr>
          <w:ilvl w:val="0"/>
          <w:numId w:val="1"/>
        </w:numPr>
      </w:pPr>
      <w:r>
        <w:t>Expenses for domestic programs</w:t>
      </w:r>
      <w:r w:rsidR="00C27E43">
        <w:t xml:space="preserve"> in the year referenced in the calculation</w:t>
      </w:r>
      <w:r>
        <w:t xml:space="preserve">, </w:t>
      </w:r>
      <w:r w:rsidR="00755EEC">
        <w:t xml:space="preserve">only </w:t>
      </w:r>
      <w:r>
        <w:t>if such expenses e</w:t>
      </w:r>
      <w:r w:rsidR="00755EEC">
        <w:t>xceed 30% of total expenses</w:t>
      </w:r>
      <w:r>
        <w:t xml:space="preserve">. Domestic expenses are defined as </w:t>
      </w:r>
      <w:r w:rsidR="00C27E43">
        <w:t xml:space="preserve">programs or activities in the United States that have no relationship to international activities, programs or issues. </w:t>
      </w:r>
    </w:p>
    <w:p w:rsidR="00562830" w:rsidRDefault="00C27E43">
      <w:r>
        <w:t xml:space="preserve">Members must notify InterAction if any of these </w:t>
      </w:r>
      <w:r w:rsidR="00755EEC">
        <w:t>reductions</w:t>
      </w:r>
      <w:r>
        <w:t xml:space="preserve"> apply </w:t>
      </w:r>
      <w:r w:rsidR="00755EEC">
        <w:t xml:space="preserve">to their dues calculation </w:t>
      </w:r>
      <w:r>
        <w:t>by November 1 in the year prior to invoicing</w:t>
      </w:r>
      <w:r w:rsidR="00755EEC">
        <w:t>. They must</w:t>
      </w:r>
      <w:r>
        <w:t xml:space="preserve"> supply appropriate financial data to support such </w:t>
      </w:r>
      <w:r w:rsidR="00755EEC">
        <w:t>reduction.</w:t>
      </w:r>
      <w:r>
        <w:t xml:space="preserve"> </w:t>
      </w:r>
    </w:p>
    <w:p w:rsidR="00C27E43" w:rsidRDefault="00BE4C63">
      <w:r>
        <w:t>For members who join mid-</w:t>
      </w:r>
      <w:r w:rsidR="00C27E43">
        <w:t>year, invoices for the joining year will be prorated accordingly and will be issued immediately following the new member’s acceptance.</w:t>
      </w:r>
    </w:p>
    <w:sectPr w:rsidR="00C2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37E49"/>
    <w:multiLevelType w:val="hybridMultilevel"/>
    <w:tmpl w:val="F708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DE"/>
    <w:rsid w:val="001B44C6"/>
    <w:rsid w:val="00437F56"/>
    <w:rsid w:val="00562830"/>
    <w:rsid w:val="00755EEC"/>
    <w:rsid w:val="00763A4B"/>
    <w:rsid w:val="007E2E3A"/>
    <w:rsid w:val="008174FA"/>
    <w:rsid w:val="008E51BB"/>
    <w:rsid w:val="009E10DE"/>
    <w:rsid w:val="00A8646C"/>
    <w:rsid w:val="00BE4C63"/>
    <w:rsid w:val="00C27E43"/>
    <w:rsid w:val="00CA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43"/>
    <w:pPr>
      <w:ind w:left="720"/>
      <w:contextualSpacing/>
    </w:pPr>
  </w:style>
  <w:style w:type="character" w:styleId="Hyperlink">
    <w:name w:val="Hyperlink"/>
    <w:basedOn w:val="DefaultParagraphFont"/>
    <w:uiPriority w:val="99"/>
    <w:unhideWhenUsed/>
    <w:rsid w:val="00437F56"/>
    <w:rPr>
      <w:color w:val="0000FF"/>
      <w:u w:val="single"/>
    </w:rPr>
  </w:style>
  <w:style w:type="character" w:styleId="FollowedHyperlink">
    <w:name w:val="FollowedHyperlink"/>
    <w:basedOn w:val="DefaultParagraphFont"/>
    <w:uiPriority w:val="99"/>
    <w:semiHidden/>
    <w:unhideWhenUsed/>
    <w:rsid w:val="00437F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43"/>
    <w:pPr>
      <w:ind w:left="720"/>
      <w:contextualSpacing/>
    </w:pPr>
  </w:style>
  <w:style w:type="character" w:styleId="Hyperlink">
    <w:name w:val="Hyperlink"/>
    <w:basedOn w:val="DefaultParagraphFont"/>
    <w:uiPriority w:val="99"/>
    <w:unhideWhenUsed/>
    <w:rsid w:val="00437F56"/>
    <w:rPr>
      <w:color w:val="0000FF"/>
      <w:u w:val="single"/>
    </w:rPr>
  </w:style>
  <w:style w:type="character" w:styleId="FollowedHyperlink">
    <w:name w:val="FollowedHyperlink"/>
    <w:basedOn w:val="DefaultParagraphFont"/>
    <w:uiPriority w:val="99"/>
    <w:semiHidden/>
    <w:unhideWhenUsed/>
    <w:rsid w:val="00437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304">
      <w:bodyDiv w:val="1"/>
      <w:marLeft w:val="0"/>
      <w:marRight w:val="0"/>
      <w:marTop w:val="0"/>
      <w:marBottom w:val="0"/>
      <w:divBdr>
        <w:top w:val="none" w:sz="0" w:space="0" w:color="auto"/>
        <w:left w:val="none" w:sz="0" w:space="0" w:color="auto"/>
        <w:bottom w:val="none" w:sz="0" w:space="0" w:color="auto"/>
        <w:right w:val="none" w:sz="0" w:space="0" w:color="auto"/>
      </w:divBdr>
    </w:div>
    <w:div w:id="1566573312">
      <w:bodyDiv w:val="1"/>
      <w:marLeft w:val="0"/>
      <w:marRight w:val="0"/>
      <w:marTop w:val="0"/>
      <w:marBottom w:val="0"/>
      <w:divBdr>
        <w:top w:val="none" w:sz="0" w:space="0" w:color="auto"/>
        <w:left w:val="none" w:sz="0" w:space="0" w:color="auto"/>
        <w:bottom w:val="none" w:sz="0" w:space="0" w:color="auto"/>
        <w:right w:val="none" w:sz="0" w:space="0" w:color="auto"/>
      </w:divBdr>
    </w:div>
    <w:div w:id="21322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goaidmap.org/organizations/1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action.org/about/financia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Wallace, Barbara</cp:lastModifiedBy>
  <cp:revision>2</cp:revision>
  <cp:lastPrinted>2015-12-16T18:28:00Z</cp:lastPrinted>
  <dcterms:created xsi:type="dcterms:W3CDTF">2016-01-06T22:17:00Z</dcterms:created>
  <dcterms:modified xsi:type="dcterms:W3CDTF">2016-01-06T22:17:00Z</dcterms:modified>
</cp:coreProperties>
</file>