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485B" w14:textId="77777777" w:rsidR="005B22A8" w:rsidRPr="00FE212A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noProof/>
          <w:color w:val="E61457"/>
          <w:sz w:val="21"/>
          <w:szCs w:val="21"/>
          <w:lang w:val="en"/>
        </w:rPr>
        <w:drawing>
          <wp:inline distT="0" distB="0" distL="0" distR="0" wp14:anchorId="322CEBD0" wp14:editId="005F46A9">
            <wp:extent cx="1701800" cy="317239"/>
            <wp:effectExtent l="0" t="0" r="0" b="6985"/>
            <wp:docPr id="14" name="Picture 14" descr="CHS Allia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S Allian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65" cy="32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12A">
        <w:rPr>
          <w:rFonts w:ascii="Calibri" w:eastAsia="Times New Roman" w:hAnsi="Calibri" w:cs="Calibri"/>
          <w:color w:val="333333"/>
          <w:sz w:val="21"/>
          <w:szCs w:val="21"/>
          <w:lang w:val="en"/>
        </w:rPr>
        <w:t xml:space="preserve">                       </w:t>
      </w:r>
      <w:r w:rsidRPr="00FE212A">
        <w:rPr>
          <w:rFonts w:ascii="Calibri" w:eastAsia="Times New Roman" w:hAnsi="Calibri" w:cs="Calibri"/>
          <w:color w:val="E61457"/>
          <w:sz w:val="28"/>
          <w:szCs w:val="32"/>
          <w:lang w:val="en"/>
        </w:rPr>
        <w:t xml:space="preserve">SEA investigations </w:t>
      </w:r>
      <w:proofErr w:type="spellStart"/>
      <w:r w:rsidRPr="005B22A8">
        <w:rPr>
          <w:rFonts w:ascii="Calibri" w:eastAsia="Times New Roman" w:hAnsi="Calibri" w:cs="Calibri"/>
          <w:color w:val="E61457"/>
          <w:sz w:val="32"/>
          <w:szCs w:val="32"/>
          <w:lang w:val="en"/>
        </w:rPr>
        <w:t>training</w:t>
      </w:r>
      <w:r w:rsidRPr="005B22A8">
        <w:rPr>
          <w:rFonts w:ascii="Calibri" w:eastAsia="Times New Roman" w:hAnsi="Calibri" w:cs="Calibri"/>
          <w:b/>
          <w:bCs/>
          <w:color w:val="FFFFFF"/>
          <w:sz w:val="19"/>
          <w:szCs w:val="19"/>
          <w:lang w:val="en"/>
        </w:rPr>
        <w:t>Fooked</w:t>
      </w:r>
      <w:proofErr w:type="spellEnd"/>
      <w:r w:rsidRPr="005B22A8">
        <w:rPr>
          <w:rFonts w:ascii="Calibri" w:eastAsia="Times New Roman" w:hAnsi="Calibri" w:cs="Calibri"/>
          <w:b/>
          <w:bCs/>
          <w:color w:val="FFFFFF"/>
          <w:sz w:val="19"/>
          <w:szCs w:val="19"/>
          <w:lang w:val="en"/>
        </w:rPr>
        <w:t>, please contact info@chsalliance.org if you would like to be put on the waiting list.</w:t>
      </w:r>
      <w:r w:rsidRPr="005B22A8">
        <w:rPr>
          <w:rFonts w:ascii="Calibri" w:eastAsia="Times New Roman" w:hAnsi="Calibri" w:cs="Calibri"/>
          <w:b/>
          <w:bCs/>
          <w:color w:val="040707"/>
          <w:sz w:val="21"/>
          <w:szCs w:val="21"/>
          <w:lang w:val="en"/>
        </w:rPr>
        <w:br/>
        <w:t xml:space="preserve">Duration: 4 days </w:t>
      </w:r>
      <w:r w:rsidRPr="005B22A8">
        <w:rPr>
          <w:rFonts w:ascii="Calibri" w:eastAsia="Times New Roman" w:hAnsi="Calibri" w:cs="Calibri"/>
          <w:b/>
          <w:bCs/>
          <w:color w:val="040707"/>
          <w:sz w:val="21"/>
          <w:szCs w:val="21"/>
          <w:lang w:val="en"/>
        </w:rPr>
        <w:br/>
      </w:r>
    </w:p>
    <w:p w14:paraId="184CB157" w14:textId="77777777" w:rsidR="005B22A8" w:rsidRPr="005B22A8" w:rsidRDefault="005B22A8" w:rsidP="005B22A8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sz w:val="21"/>
          <w:szCs w:val="21"/>
          <w:lang w:val="en"/>
        </w:rPr>
        <w:t> </w:t>
      </w:r>
      <w:r w:rsidRPr="005B22A8">
        <w:rPr>
          <w:rFonts w:ascii="Calibri" w:eastAsia="Times New Roman" w:hAnsi="Calibri" w:cs="Calibri"/>
          <w:color w:val="333333"/>
          <w:lang w:val="en"/>
        </w:rPr>
        <w:t xml:space="preserve">This four-day workshop demonstrates how to conduct fair, thorough and confidential investigations into complaints of staff misconduct, with a </w:t>
      </w:r>
      <w:proofErr w:type="gramStart"/>
      <w:r w:rsidRPr="005B22A8">
        <w:rPr>
          <w:rFonts w:ascii="Calibri" w:eastAsia="Times New Roman" w:hAnsi="Calibri" w:cs="Calibri"/>
          <w:color w:val="333333"/>
          <w:lang w:val="en"/>
        </w:rPr>
        <w:t>particular focus</w:t>
      </w:r>
      <w:proofErr w:type="gramEnd"/>
      <w:r w:rsidRPr="005B22A8">
        <w:rPr>
          <w:rFonts w:ascii="Calibri" w:eastAsia="Times New Roman" w:hAnsi="Calibri" w:cs="Calibri"/>
          <w:color w:val="333333"/>
          <w:lang w:val="en"/>
        </w:rPr>
        <w:t xml:space="preserve"> on allegations of sexual exploitation and abuse of affected populations.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Who should attend? </w:t>
      </w:r>
    </w:p>
    <w:p w14:paraId="513C07C2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 xml:space="preserve">Mid- to senior-level staff who are, or may be, designated to investigate allegations of staff misconduct within their </w:t>
      </w:r>
      <w:proofErr w:type="spellStart"/>
      <w:r w:rsidRPr="005B22A8">
        <w:rPr>
          <w:rFonts w:ascii="Calibri" w:eastAsia="Times New Roman" w:hAnsi="Calibri" w:cs="Calibri"/>
          <w:color w:val="333333"/>
          <w:lang w:val="en"/>
        </w:rPr>
        <w:t>organisation</w:t>
      </w:r>
      <w:proofErr w:type="spellEnd"/>
      <w:r w:rsidRPr="005B22A8">
        <w:rPr>
          <w:rFonts w:ascii="Calibri" w:eastAsia="Times New Roman" w:hAnsi="Calibri" w:cs="Calibri"/>
          <w:color w:val="333333"/>
          <w:lang w:val="en"/>
        </w:rPr>
        <w:t>.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Course content</w:t>
      </w:r>
    </w:p>
    <w:p w14:paraId="07027D50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The course covers the following topics: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W</w:t>
      </w:r>
      <w:r w:rsidR="00FE212A">
        <w:rPr>
          <w:rFonts w:ascii="Calibri" w:eastAsia="Times New Roman" w:hAnsi="Calibri" w:cs="Calibri"/>
          <w:color w:val="333333"/>
          <w:lang w:val="en"/>
        </w:rPr>
        <w:t>h</w:t>
      </w:r>
      <w:r w:rsidRPr="005B22A8">
        <w:rPr>
          <w:rFonts w:ascii="Calibri" w:eastAsia="Times New Roman" w:hAnsi="Calibri" w:cs="Calibri"/>
          <w:color w:val="333333"/>
          <w:lang w:val="en"/>
        </w:rPr>
        <w:t>at is abuse?</w:t>
      </w:r>
    </w:p>
    <w:p w14:paraId="058E25C1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The principles underpinning investigations</w:t>
      </w:r>
    </w:p>
    <w:p w14:paraId="394B1FBA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Investigation planning</w:t>
      </w:r>
    </w:p>
    <w:p w14:paraId="120CE868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Conducting investigations, including interviewing</w:t>
      </w:r>
    </w:p>
    <w:p w14:paraId="143C9C59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Documentary and other evidence, and site visits</w:t>
      </w:r>
    </w:p>
    <w:p w14:paraId="7446CF81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Investigation report and management implication report writing</w:t>
      </w:r>
    </w:p>
    <w:p w14:paraId="5B938B83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The standard and burden of proof</w:t>
      </w:r>
    </w:p>
    <w:p w14:paraId="465BFFF9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Investigation closure</w:t>
      </w:r>
    </w:p>
    <w:p w14:paraId="5277D610" w14:textId="77777777" w:rsidR="005B22A8" w:rsidRPr="005B22A8" w:rsidRDefault="005B22A8" w:rsidP="00FE2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Management of investigations</w:t>
      </w:r>
    </w:p>
    <w:p w14:paraId="5A5BFF26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br/>
        <w:t>The third day of the course is a full-day simulation exercise of the interviewing stage of an investigation, using a detailed case study. Actors represent the complainant, subject of complaint and witnesses.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Pre-workshop assignments and background reading</w:t>
      </w:r>
    </w:p>
    <w:p w14:paraId="16583EC2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 xml:space="preserve">The investigations workshop has three mandatory pre-workshop assignments, introducing the legal framework, definitions of exploitation and abuse, complaints handling and the Guidelines for Investigations. The second pre-workshop assignment requires the participants to research and reflect on exploitation and abuse in the context of the country in which they work. A significant amount of background reading is required </w:t>
      </w:r>
      <w:proofErr w:type="gramStart"/>
      <w:r w:rsidRPr="005B22A8">
        <w:rPr>
          <w:rFonts w:ascii="Calibri" w:eastAsia="Times New Roman" w:hAnsi="Calibri" w:cs="Calibri"/>
          <w:color w:val="333333"/>
          <w:lang w:val="en"/>
        </w:rPr>
        <w:t>in order to</w:t>
      </w:r>
      <w:proofErr w:type="gramEnd"/>
      <w:r w:rsidRPr="005B22A8">
        <w:rPr>
          <w:rFonts w:ascii="Calibri" w:eastAsia="Times New Roman" w:hAnsi="Calibri" w:cs="Calibri"/>
          <w:color w:val="333333"/>
          <w:lang w:val="en"/>
        </w:rPr>
        <w:t xml:space="preserve"> prepare for the course and complete the pre-workshop assignments.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Learning outcomes</w:t>
      </w:r>
    </w:p>
    <w:p w14:paraId="526C45CF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By the end of the course, participants will have an increased understanding of the following: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The principles underpinning investigations.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The guidelines for investigations.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br/>
        <w:t>Furthermore, participants will have developed basic skills in: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Planning and conducting investigations.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Reviewing documentary and other evidence, and conducting site visits.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Interviewing complainants, subjects of complaint and witnesses.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Reporting findings and making recommendations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The standard and burden of proof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Closing an investigation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Managing an investigation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Course fees</w:t>
      </w:r>
    </w:p>
    <w:p w14:paraId="1EBEEBEB" w14:textId="77777777" w:rsidR="005B22A8" w:rsidRPr="005B22A8" w:rsidRDefault="005B22A8" w:rsidP="00FE212A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The course fee includes facilitation, course materials, lunch and refreshments during the days of the course, and a course completion certificate. The course fee does NOT include the cost of overnight accommodation or travel to and from the training venue.</w:t>
      </w:r>
    </w:p>
    <w:tbl>
      <w:tblPr>
        <w:tblW w:w="49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386"/>
        <w:gridCol w:w="3391"/>
      </w:tblGrid>
      <w:tr w:rsidR="005B22A8" w:rsidRPr="005B22A8" w14:paraId="167C0792" w14:textId="77777777" w:rsidTr="00FE212A">
        <w:trPr>
          <w:trHeight w:val="282"/>
        </w:trPr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686C" w14:textId="77777777" w:rsidR="005B22A8" w:rsidRPr="005B22A8" w:rsidRDefault="005B22A8" w:rsidP="005B22A8">
            <w:pPr>
              <w:spacing w:before="30" w:after="225" w:line="240" w:lineRule="auto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b/>
                <w:bCs/>
                <w:color w:val="333333"/>
              </w:rPr>
              <w:t>Swiss francs (CHF)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A6BE" w14:textId="77777777" w:rsidR="005B22A8" w:rsidRPr="005B22A8" w:rsidRDefault="005B22A8" w:rsidP="005B22A8">
            <w:pPr>
              <w:spacing w:before="30" w:after="225" w:line="240" w:lineRule="auto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b/>
                <w:bCs/>
                <w:color w:val="333333"/>
              </w:rPr>
              <w:t>Full members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80A5" w14:textId="77777777" w:rsidR="005B22A8" w:rsidRPr="005B22A8" w:rsidRDefault="005B22A8" w:rsidP="005B22A8">
            <w:pPr>
              <w:spacing w:before="30" w:after="225" w:line="240" w:lineRule="auto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b/>
                <w:bCs/>
                <w:color w:val="333333"/>
              </w:rPr>
              <w:t>Associate &amp; non-members</w:t>
            </w:r>
          </w:p>
        </w:tc>
      </w:tr>
      <w:tr w:rsidR="005B22A8" w:rsidRPr="005B22A8" w14:paraId="4C2CCBD5" w14:textId="77777777" w:rsidTr="00FE212A">
        <w:trPr>
          <w:trHeight w:val="287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2669" w14:textId="77777777" w:rsidR="005B22A8" w:rsidRPr="005B22A8" w:rsidRDefault="005B22A8" w:rsidP="005B22A8">
            <w:pPr>
              <w:spacing w:before="30" w:after="225" w:line="240" w:lineRule="auto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color w:val="333333"/>
              </w:rPr>
              <w:t>Standard rate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50BB" w14:textId="77777777" w:rsidR="005B22A8" w:rsidRPr="005B22A8" w:rsidRDefault="005B22A8" w:rsidP="005B22A8">
            <w:pPr>
              <w:spacing w:before="30" w:after="225" w:line="240" w:lineRule="auto"/>
              <w:jc w:val="right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color w:val="333333"/>
              </w:rPr>
              <w:t>1200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CD75" w14:textId="77777777" w:rsidR="005B22A8" w:rsidRPr="005B22A8" w:rsidRDefault="005B22A8" w:rsidP="005B22A8">
            <w:pPr>
              <w:spacing w:before="30" w:after="225" w:line="240" w:lineRule="auto"/>
              <w:jc w:val="right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color w:val="333333"/>
              </w:rPr>
              <w:t>1600</w:t>
            </w:r>
          </w:p>
        </w:tc>
      </w:tr>
      <w:tr w:rsidR="005B22A8" w:rsidRPr="005B22A8" w14:paraId="582B63F9" w14:textId="77777777" w:rsidTr="00FE212A">
        <w:trPr>
          <w:trHeight w:val="25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8B69" w14:textId="77777777" w:rsidR="005B22A8" w:rsidRPr="005B22A8" w:rsidRDefault="005B22A8" w:rsidP="005B22A8">
            <w:pPr>
              <w:spacing w:before="30" w:after="225" w:line="240" w:lineRule="auto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color w:val="333333"/>
              </w:rPr>
              <w:t>Small agency rate*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1D99" w14:textId="77777777" w:rsidR="005B22A8" w:rsidRPr="005B22A8" w:rsidRDefault="005B22A8" w:rsidP="005B22A8">
            <w:pPr>
              <w:spacing w:before="30" w:after="225" w:line="240" w:lineRule="auto"/>
              <w:jc w:val="right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color w:val="333333"/>
              </w:rPr>
              <w:t>600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6A80" w14:textId="77777777" w:rsidR="005B22A8" w:rsidRPr="005B22A8" w:rsidRDefault="005B22A8" w:rsidP="005B22A8">
            <w:pPr>
              <w:spacing w:before="30" w:after="225" w:line="240" w:lineRule="auto"/>
              <w:jc w:val="right"/>
              <w:rPr>
                <w:rFonts w:ascii="Calibri" w:eastAsia="Times New Roman" w:hAnsi="Calibri" w:cs="Calibri"/>
                <w:color w:val="333333"/>
                <w:sz w:val="19"/>
                <w:szCs w:val="19"/>
              </w:rPr>
            </w:pPr>
            <w:r w:rsidRPr="005B22A8">
              <w:rPr>
                <w:rFonts w:ascii="Calibri" w:eastAsia="Times New Roman" w:hAnsi="Calibri" w:cs="Calibri"/>
                <w:color w:val="333333"/>
              </w:rPr>
              <w:t>800</w:t>
            </w:r>
          </w:p>
        </w:tc>
      </w:tr>
    </w:tbl>
    <w:p w14:paraId="13A73F7F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*A small agency is one with a global annual expenditure of less than 5 million Swiss francs</w:t>
      </w:r>
    </w:p>
    <w:p w14:paraId="123B9E2A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color w:val="333333"/>
          <w:lang w:val="en"/>
        </w:rPr>
        <w:t> </w:t>
      </w:r>
      <w:proofErr w:type="spellStart"/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Programme</w:t>
      </w:r>
      <w:proofErr w:type="spellEnd"/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 xml:space="preserve"> </w:t>
      </w:r>
    </w:p>
    <w:p w14:paraId="142F7F7C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Day 1: </w:t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t>What is abuse? 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Principles of investigations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Investigation skills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Stages of an investigation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 xml:space="preserve">Gathering and </w:t>
      </w:r>
      <w:proofErr w:type="spellStart"/>
      <w:r w:rsidRPr="005B22A8">
        <w:rPr>
          <w:rFonts w:ascii="Calibri" w:eastAsia="Times New Roman" w:hAnsi="Calibri" w:cs="Calibri"/>
          <w:color w:val="333333"/>
          <w:lang w:val="en"/>
        </w:rPr>
        <w:t>analysing</w:t>
      </w:r>
      <w:proofErr w:type="spellEnd"/>
      <w:r w:rsidRPr="005B22A8">
        <w:rPr>
          <w:rFonts w:ascii="Calibri" w:eastAsia="Times New Roman" w:hAnsi="Calibri" w:cs="Calibri"/>
          <w:color w:val="333333"/>
          <w:lang w:val="en"/>
        </w:rPr>
        <w:t xml:space="preserve"> information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The standard and burden of proof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Using specific language</w:t>
      </w:r>
    </w:p>
    <w:p w14:paraId="7D3A83CC" w14:textId="77777777" w:rsidR="005B22A8" w:rsidRPr="005B22A8" w:rsidRDefault="005B22A8" w:rsidP="005B22A8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Day 2: </w:t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t>Models of interviewing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proofErr w:type="spellStart"/>
      <w:r w:rsidRPr="005B22A8">
        <w:rPr>
          <w:rFonts w:ascii="Calibri" w:eastAsia="Times New Roman" w:hAnsi="Calibri" w:cs="Calibri"/>
          <w:color w:val="333333"/>
          <w:lang w:val="en"/>
        </w:rPr>
        <w:t>Interviewing</w:t>
      </w:r>
      <w:proofErr w:type="spellEnd"/>
      <w:r w:rsidRPr="005B22A8">
        <w:rPr>
          <w:rFonts w:ascii="Calibri" w:eastAsia="Times New Roman" w:hAnsi="Calibri" w:cs="Calibri"/>
          <w:color w:val="333333"/>
          <w:lang w:val="en"/>
        </w:rPr>
        <w:t xml:space="preserve"> witnesses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Interviewing subjects of complaint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Investigation planning and preparation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Planning and preparation for interview simulation exercise</w:t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Day 3: </w:t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t>Full day’s simulation exercise of the interview stage of an investigation (actors represent the complainant, subject of complaint and witnesses).</w:t>
      </w:r>
    </w:p>
    <w:p w14:paraId="48DF1B73" w14:textId="77777777" w:rsidR="007672A2" w:rsidRPr="005B22A8" w:rsidRDefault="005B22A8" w:rsidP="00FE212A">
      <w:pPr>
        <w:shd w:val="clear" w:color="auto" w:fill="FFFFFF"/>
        <w:spacing w:before="30"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val="en"/>
        </w:rPr>
      </w:pP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t>Day 4: </w:t>
      </w:r>
      <w:r w:rsidRPr="005B22A8">
        <w:rPr>
          <w:rFonts w:ascii="Calibri" w:eastAsia="Times New Roman" w:hAnsi="Calibri" w:cs="Calibri"/>
          <w:b/>
          <w:bCs/>
          <w:color w:val="333333"/>
          <w:lang w:val="en"/>
        </w:rPr>
        <w:br/>
      </w:r>
      <w:r w:rsidRPr="005B22A8">
        <w:rPr>
          <w:rFonts w:ascii="Calibri" w:eastAsia="Times New Roman" w:hAnsi="Calibri" w:cs="Calibri"/>
          <w:color w:val="333333"/>
          <w:lang w:val="en"/>
        </w:rPr>
        <w:t>Review of investigation and interview plans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Writing investigation reports and management implication reports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Closure of the investigation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Management of investigations</w:t>
      </w:r>
      <w:r w:rsidRPr="005B22A8">
        <w:rPr>
          <w:rFonts w:ascii="Calibri" w:eastAsia="Times New Roman" w:hAnsi="Calibri" w:cs="Calibri"/>
          <w:color w:val="333333"/>
          <w:lang w:val="en"/>
        </w:rPr>
        <w:br/>
        <w:t>Reflection</w:t>
      </w:r>
      <w:r w:rsidRPr="005B22A8">
        <w:rPr>
          <w:rFonts w:ascii="Calibri" w:eastAsia="Times New Roman" w:hAnsi="Calibri" w:cs="Calibri"/>
          <w:color w:val="333333"/>
          <w:sz w:val="21"/>
          <w:szCs w:val="21"/>
          <w:lang w:val="en"/>
        </w:rPr>
        <w:br/>
      </w:r>
      <w:bookmarkStart w:id="0" w:name="_GoBack"/>
      <w:bookmarkEnd w:id="0"/>
    </w:p>
    <w:sectPr w:rsidR="007672A2" w:rsidRPr="005B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71CC"/>
    <w:multiLevelType w:val="multilevel"/>
    <w:tmpl w:val="046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7216D"/>
    <w:multiLevelType w:val="multilevel"/>
    <w:tmpl w:val="1C62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019C1"/>
    <w:multiLevelType w:val="multilevel"/>
    <w:tmpl w:val="5698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554FA"/>
    <w:multiLevelType w:val="multilevel"/>
    <w:tmpl w:val="67D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64123"/>
    <w:multiLevelType w:val="multilevel"/>
    <w:tmpl w:val="210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8"/>
    <w:rsid w:val="005B22A8"/>
    <w:rsid w:val="007672A2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6B67"/>
  <w15:chartTrackingRefBased/>
  <w15:docId w15:val="{3BC68A17-EE77-42C2-9A38-BEC977F4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B22A8"/>
    <w:pPr>
      <w:spacing w:before="150" w:after="150" w:line="240" w:lineRule="auto"/>
      <w:outlineLvl w:val="3"/>
    </w:pPr>
    <w:rPr>
      <w:rFonts w:ascii="Calibri" w:eastAsia="Times New Roman" w:hAnsi="Calibri" w:cs="Calibri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22A8"/>
    <w:rPr>
      <w:rFonts w:ascii="Calibri" w:eastAsia="Times New Roman" w:hAnsi="Calibri" w:cs="Calibri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B22A8"/>
    <w:rPr>
      <w:strike w:val="0"/>
      <w:dstrike w:val="0"/>
      <w:color w:val="E61457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5B22A8"/>
    <w:pPr>
      <w:spacing w:before="3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5B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22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22A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22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22A8"/>
    <w:rPr>
      <w:rFonts w:ascii="Arial" w:eastAsia="Times New Roman" w:hAnsi="Arial" w:cs="Arial"/>
      <w:vanish/>
      <w:sz w:val="16"/>
      <w:szCs w:val="16"/>
    </w:rPr>
  </w:style>
  <w:style w:type="character" w:customStyle="1" w:styleId="sr-only1">
    <w:name w:val="sr-only1"/>
    <w:basedOn w:val="DefaultParagraphFont"/>
    <w:rsid w:val="005B22A8"/>
    <w:rPr>
      <w:bdr w:val="none" w:sz="0" w:space="0" w:color="auto" w:frame="1"/>
    </w:rPr>
  </w:style>
  <w:style w:type="character" w:customStyle="1" w:styleId="text5">
    <w:name w:val="text5"/>
    <w:basedOn w:val="DefaultParagraphFont"/>
    <w:rsid w:val="005B22A8"/>
  </w:style>
  <w:style w:type="paragraph" w:customStyle="1" w:styleId="dropdown">
    <w:name w:val="dropdown"/>
    <w:basedOn w:val="Normal"/>
    <w:rsid w:val="005B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tiary-1">
    <w:name w:val="tertiary-1"/>
    <w:basedOn w:val="Normal"/>
    <w:rsid w:val="005B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-block1">
    <w:name w:val="help-block1"/>
    <w:basedOn w:val="Normal"/>
    <w:rsid w:val="005B22A8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</w:rPr>
  </w:style>
  <w:style w:type="character" w:customStyle="1" w:styleId="at4-visually-hidden1">
    <w:name w:val="at4-visually-hidden1"/>
    <w:basedOn w:val="DefaultParagraphFont"/>
    <w:rsid w:val="005B22A8"/>
    <w:rPr>
      <w:bdr w:val="none" w:sz="0" w:space="0" w:color="auto" w:frame="1"/>
    </w:rPr>
  </w:style>
  <w:style w:type="character" w:customStyle="1" w:styleId="at4-visually-hidden2">
    <w:name w:val="at4-visually-hidden2"/>
    <w:basedOn w:val="DefaultParagraphFont"/>
    <w:rsid w:val="005B22A8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58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1457"/>
            <w:right w:val="none" w:sz="0" w:space="0" w:color="auto"/>
          </w:divBdr>
        </w:div>
        <w:div w:id="527067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1457"/>
            <w:bottom w:val="none" w:sz="0" w:space="0" w:color="auto"/>
            <w:right w:val="none" w:sz="0" w:space="0" w:color="auto"/>
          </w:divBdr>
          <w:divsChild>
            <w:div w:id="778335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941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220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4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003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650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4355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05156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0532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106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4968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35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5942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02316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45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5278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141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990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39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4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13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83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616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814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83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50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6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33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56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allianc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01657A829346985AA64C3A399081" ma:contentTypeVersion="10" ma:contentTypeDescription="Create a new document." ma:contentTypeScope="" ma:versionID="627a39bbc0bd740c3279f5976b54a7ee">
  <xsd:schema xmlns:xsd="http://www.w3.org/2001/XMLSchema" xmlns:xs="http://www.w3.org/2001/XMLSchema" xmlns:p="http://schemas.microsoft.com/office/2006/metadata/properties" xmlns:ns2="83ee5f3e-594b-414a-8649-ce9b2eadd1a4" xmlns:ns3="c07a1629-68ae-4fcd-b054-b1b327c46cb9" targetNamespace="http://schemas.microsoft.com/office/2006/metadata/properties" ma:root="true" ma:fieldsID="9af446589817df3cb4a0f8df57ed4bde" ns2:_="" ns3:_="">
    <xsd:import namespace="83ee5f3e-594b-414a-8649-ce9b2eadd1a4"/>
    <xsd:import namespace="c07a1629-68ae-4fcd-b054-b1b327c4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5f3e-594b-414a-8649-ce9b2eadd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629-68ae-4fcd-b054-b1b327c46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33C4C-54AF-4D2A-B080-9123465F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e5f3e-594b-414a-8649-ce9b2eadd1a4"/>
    <ds:schemaRef ds:uri="c07a1629-68ae-4fcd-b054-b1b327c46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F1BC7-C15A-4BBE-80D8-11F51A208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3FBDD-6B92-41DA-9C11-0F8022528B7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ee5f3e-594b-414a-8649-ce9b2eadd1a4"/>
    <ds:schemaRef ds:uri="http://purl.org/dc/elements/1.1/"/>
    <ds:schemaRef ds:uri="http://schemas.microsoft.com/office/2006/metadata/properties"/>
    <ds:schemaRef ds:uri="c07a1629-68ae-4fcd-b054-b1b327c46cb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Pleger, Helen</dc:creator>
  <cp:keywords/>
  <dc:description/>
  <cp:lastModifiedBy>Pleger, Helen</cp:lastModifiedBy>
  <cp:revision>1</cp:revision>
  <dcterms:created xsi:type="dcterms:W3CDTF">2019-02-22T13:57:00Z</dcterms:created>
  <dcterms:modified xsi:type="dcterms:W3CDTF">2019-02-22T14:15:00Z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0x0101004F9401657A829346985AA64C3A399081</vt:lpwstr>
  </property>
  <property fmtid="{D5CDD505-2E9C-101B-9397-08002B2CF9AE}" pid="3" name="AuthorIds_UIVersion_512">
    <vt:lpwstr>1160</vt:lpwstr>
  </property>
</Properties>
</file>